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p>
      <w:pPr>
        <w:jc w:val="right"/>
      </w:pPr>
      <w:r>
        <w:t xml:space="preserve">Abidjan le </w:t>
      </w:r>
      <w:r>
        <w:rPr>
          <w:rtl w:val="off"/>
        </w:rPr>
        <w:t>20</w:t>
      </w:r>
      <w:r>
        <w:t>/</w:t>
      </w:r>
      <w:r>
        <w:rPr>
          <w:rtl w:val="off"/>
        </w:rPr>
        <w:t>10</w:t>
      </w:r>
      <w:r>
        <w:t>/202</w:t>
      </w:r>
      <w:r>
        <w:rPr>
          <w:rtl w:val="off"/>
        </w:rPr>
        <w:t>3</w:t>
      </w:r>
    </w:p>
    <w:p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7728" allowOverlap="1" hidden="0">
                <wp:simplePos x="0" y="0"/>
                <wp:positionH relativeFrom="column">
                  <wp:posOffset>3023869</wp:posOffset>
                </wp:positionH>
                <wp:positionV relativeFrom="paragraph">
                  <wp:posOffset>15241</wp:posOffset>
                </wp:positionV>
                <wp:extent cx="3428365" cy="1657350"/>
                <wp:effectExtent l="4762" t="4762" r="4762" b="4762"/>
                <wp:wrapNone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836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u w:val="single" w:color="auto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 w:color="auto"/>
                              </w:rPr>
                              <w:t>Client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Le Conseil du Café Cacao 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rtl w:val="off"/>
                              </w:rPr>
                              <w:t>(Salon du chocolat de Paris 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238.1pt;margin-top:1.20008pt;width:269.95pt;height:130.5pt;mso-wrap-style:infront;mso-position-horizontal-relative:column;mso-position-vertical-relative:line;v-text-anchor:top;z-index:251657728" o:allowincell="t" filled="t" fillcolor="#ffffff" stroked="t" strokecolor="#0" strokeweight="0.75pt">
                <v:textbox inset="2.5mm,1.3mm,2.5mm,1.3mm">
                  <w:txbxContent>
                    <w:p>
                      <w:pPr>
                        <w:jc w:val="center"/>
                        <w:rPr>
                          <w:b/>
                          <w:sz w:val="28"/>
                          <w:u w:val="single" w:color="auto"/>
                        </w:rPr>
                      </w:pPr>
                      <w:r>
                        <w:rPr>
                          <w:b/>
                          <w:sz w:val="28"/>
                          <w:u w:val="single" w:color="auto"/>
                        </w:rPr>
                        <w:t>Client</w:t>
                      </w:r>
                    </w:p>
                    <w:p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Le Conseil du Café Cacao </w:t>
                      </w: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rtl w:val="off"/>
                        </w:rPr>
                        <w:t>(Salon du chocolat de Paris 2023)</w:t>
                      </w:r>
                    </w:p>
                  </w:txbxContent>
                </v:textbox>
                <v:stroke/>
              </v:rect>
            </w:pict>
          </mc:Fallback>
        </mc:AlternateContent>
      </w:r>
    </w:p>
    <w:p/>
    <w:p>
      <w:r>
        <w:rPr>
          <w:b/>
          <w:sz w:val="28"/>
          <w:szCs w:val="28"/>
        </w:rPr>
        <w:t>Facture pro-forma N°202</w:t>
      </w:r>
      <w:r>
        <w:rPr>
          <w:b/>
          <w:sz w:val="28"/>
          <w:szCs w:val="28"/>
          <w:rtl w:val="off"/>
        </w:rPr>
        <w:t>3-201</w:t>
      </w:r>
    </w:p>
    <w:p/>
    <w:p/>
    <w:tbl>
      <w:tblPr>
        <w:tblpPr w:vertAnchor="text" w:horzAnchor="page" w:tblpX="100" w:tblpY="262"/>
        <w:tblW w:w="102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ellMar>
          <w:top w:w="0" w:type="dxa"/>
          <w:left w:w="70" w:type="dxa"/>
          <w:bottom w:w="0" w:type="dxa"/>
          <w:right w:w="70" w:type="dxa"/>
        </w:tblCellMar>
      </w:tblPr>
      <w:tblGrid>
        <w:gridCol w:w="6187"/>
        <w:gridCol w:w="1257"/>
        <w:gridCol w:w="1622"/>
        <w:gridCol w:w="1175"/>
      </w:tblGrid>
      <w:tr>
        <w:trPr>
          <w:trHeight w:val="1359" w:hRule="atLeast"/>
        </w:trPr>
        <w:tc>
          <w:tcPr>
            <w:tcW w:w="6187" w:type="dxa"/>
            <w:shd w:val="clear" w:color="auto" w:fill="auto"/>
            <w:vAlign w:val="center"/>
            <w:hideMark/>
          </w:tcPr>
          <w:p>
            <w:pPr>
              <w:jc w:val="center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DESIGNATION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QUANTITES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PRIX UNITAIRE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>
            <w:pPr>
              <w:jc w:val="center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MONTANT</w:t>
            </w:r>
          </w:p>
        </w:tc>
      </w:tr>
      <w:tr>
        <w:trPr>
          <w:trHeight w:val="2067" w:hRule="atLeast"/>
        </w:trPr>
        <w:tc>
          <w:tcPr>
            <w:tcW w:w="61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 xml:space="preserve">Classe cacao + diplômes +Cocktail chefs pâtissiers </w:t>
            </w:r>
          </w:p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-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-</w:t>
            </w:r>
          </w:p>
        </w:tc>
        <w:tc>
          <w:tcPr>
            <w:tcW w:w="1175" w:type="dxa"/>
            <w:shd w:val="clear" w:color="auto" w:fill="auto"/>
            <w:vAlign w:val="center"/>
            <w:hideMark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  <w:rtl w:val="off"/>
              </w:rPr>
              <w:t>1 500 000</w:t>
            </w:r>
          </w:p>
        </w:tc>
      </w:tr>
      <w:tr>
        <w:trPr>
          <w:trHeight w:val="1477" w:hRule="atLeast"/>
        </w:trPr>
        <w:tc>
          <w:tcPr>
            <w:tcW w:w="618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>
            <w:pPr>
              <w:jc w:val="center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Montant total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 w:val="off"/>
              </w:rPr>
              <w:t>1500 00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/>
    <w:p/>
    <w:p>
      <w:pPr>
        <w:rPr>
          <w:b/>
          <w:sz w:val="32"/>
        </w:rPr>
      </w:pPr>
      <w:r>
        <w:t xml:space="preserve">ARRÊTÉ LA PRÉSENTE FACTURE À LA SOMME DE : </w:t>
      </w:r>
      <w:r>
        <w:rPr>
          <w:b/>
          <w:rtl w:val="off"/>
        </w:rPr>
        <w:t xml:space="preserve"> </w:t>
      </w:r>
      <w:r>
        <w:rPr>
          <w:b/>
          <w:rtl w:val="off"/>
        </w:rPr>
        <w:t>U</w:t>
      </w:r>
      <w:r>
        <w:rPr>
          <w:b/>
          <w:rtl w:val="off"/>
        </w:rPr>
        <w:t xml:space="preserve">N </w:t>
      </w:r>
      <w:r>
        <w:rPr>
          <w:b/>
          <w:rtl w:val="off"/>
        </w:rPr>
        <w:t>MILLIO</w:t>
      </w:r>
      <w:r>
        <w:rPr>
          <w:b/>
          <w:rtl w:val="off"/>
        </w:rPr>
        <w:t xml:space="preserve">N </w:t>
      </w:r>
      <w:r>
        <w:rPr>
          <w:b/>
          <w:rtl w:val="off"/>
        </w:rPr>
        <w:t>CIN</w:t>
      </w:r>
      <w:r>
        <w:rPr>
          <w:b/>
          <w:rtl w:val="off"/>
        </w:rPr>
        <w:t xml:space="preserve">Q </w:t>
      </w:r>
      <w:r>
        <w:rPr>
          <w:b/>
          <w:rtl w:val="off"/>
        </w:rPr>
        <w:t>CEN</w:t>
      </w:r>
      <w:r>
        <w:rPr>
          <w:b/>
          <w:rtl w:val="off"/>
        </w:rPr>
        <w:t xml:space="preserve">T </w:t>
      </w:r>
      <w:r>
        <w:rPr>
          <w:b/>
          <w:rtl w:val="off"/>
        </w:rPr>
        <w:t>MILL</w:t>
      </w:r>
      <w:r>
        <w:rPr>
          <w:b/>
          <w:rtl w:val="off"/>
        </w:rPr>
        <w:t xml:space="preserve">E </w:t>
      </w:r>
      <w:r>
        <w:rPr>
          <w:noProof/>
          <w:u w:val="single" w:color="auto"/>
        </w:rPr>
        <w:drawing>
          <wp:anchor distT="0" distB="0" distL="114300" distR="114300" behindDoc="0" locked="0" layoutInCell="1" simplePos="0" relativeHeight="251659776" allowOverlap="1" hidden="0">
            <wp:simplePos x="0" y="0"/>
            <wp:positionH relativeFrom="column">
              <wp:posOffset>3436620</wp:posOffset>
            </wp:positionH>
            <wp:positionV relativeFrom="paragraph">
              <wp:posOffset>751840</wp:posOffset>
            </wp:positionV>
            <wp:extent cx="2716530" cy="1344295"/>
            <wp:effectExtent l="0" t="0" r="0" b="0"/>
            <wp:wrapNone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lum bright="20000" contrast="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34429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 w:code="9"/>
      <w:pgMar w:top="1418" w:right="1418" w:bottom="1418" w:left="1418" w:header="709" w:footer="454" w:gutter="0"/>
      <w:cols w:space="708"/>
      <w:docGrid w:linePitch="360"/>
      <w:headerReference w:type="default" r:id="rId2"/>
      <w:footerReference w:type="default" r:id="rId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Perpetua Titling MT">
    <w:panose1 w:val="02020502060505020804"/>
    <w:family w:val="roman"/>
    <w:charset w:val="00"/>
    <w:notTrueType w:val="false"/>
    <w:sig w:usb0="00000003" w:usb1="00000001" w:usb2="00000001" w:usb3="00000001" w:csb0="20000001" w:csb1="00000001"/>
  </w:font>
  <w:font w:name="Adobe Garamond Pro">
    <w:panose1 w:val="02020502060506020403"/>
    <w:family w:val="roman"/>
    <w:charset w:val="00"/>
    <w:notTrueType w:val="true"/>
    <w:sig w:usb0="00000007" w:usb1="00000001" w:usb2="00000001" w:usb3="00000001" w:csb0="20000093" w:csb1="00000001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  <w:font w:name="Times New Roman">
    <w:panose1 w:val="02020603050405020304"/>
    <w:family w:val="roman"/>
    <w:charset w:val="00"/>
    <w:notTrueType w:val="false"/>
    <w:sig w:usb0="00007A87" w:usb1="80000000" w:usb2="00000008" w:usb3="00000001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Pieddepage"/>
      <w:contextualSpacing/>
      <w:jc w:val="center"/>
      <w:shd w:val="clear" w:color="auto" w:fill="EEECE1"/>
      <w:rPr>
        <w:lang w:val="en-US"/>
        <w:rFonts w:ascii="Adobe Garamond Pro" w:hAnsi="Adobe Garamond Pro"/>
        <w:sz w:val="20"/>
      </w:rPr>
    </w:pPr>
    <w:r>
      <w:rPr>
        <w:lang w:val="en-US"/>
        <w:rFonts w:ascii="Adobe Garamond Pro" w:hAnsi="Adobe Garamond Pro"/>
        <w:sz w:val="20"/>
      </w:rPr>
      <w:t xml:space="preserve">22 BP 1168 Abidjan 22 – </w:t>
    </w:r>
    <w:r>
      <w:rPr>
        <w:lang w:val="en-US"/>
        <w:rFonts w:ascii="Adobe Garamond Pro" w:hAnsi="Adobe Garamond Pro"/>
        <w:b/>
        <w:sz w:val="20"/>
      </w:rPr>
      <w:t>Tél</w:t>
    </w:r>
    <w:r>
      <w:rPr>
        <w:lang w:val="en-US"/>
        <w:rFonts w:ascii="Adobe Garamond Pro" w:hAnsi="Adobe Garamond Pro"/>
        <w:sz w:val="20"/>
      </w:rPr>
      <w:t xml:space="preserve">: 2000 3362 – </w:t>
    </w:r>
    <w:r>
      <w:rPr>
        <w:lang w:val="en-US"/>
        <w:rFonts w:ascii="Adobe Garamond Pro" w:hAnsi="Adobe Garamond Pro"/>
        <w:b/>
        <w:sz w:val="20"/>
      </w:rPr>
      <w:t>Fax</w:t>
    </w:r>
    <w:r>
      <w:rPr>
        <w:lang w:val="en-US"/>
        <w:rFonts w:ascii="Adobe Garamond Pro" w:hAnsi="Adobe Garamond Pro"/>
        <w:sz w:val="20"/>
      </w:rPr>
      <w:t xml:space="preserve">: 2247 1203 – </w:t>
    </w:r>
    <w:r>
      <w:rPr>
        <w:lang w:val="en-US"/>
        <w:rFonts w:ascii="Adobe Garamond Pro" w:hAnsi="Adobe Garamond Pro"/>
        <w:b/>
        <w:sz w:val="20"/>
      </w:rPr>
      <w:t>Cell</w:t>
    </w:r>
    <w:r>
      <w:rPr>
        <w:lang w:val="en-US"/>
        <w:rFonts w:ascii="Adobe Garamond Pro" w:hAnsi="Adobe Garamond Pro"/>
        <w:sz w:val="20"/>
      </w:rPr>
      <w:t> : 0900 57 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-tte"/>
    </w:pPr>
    <w:r>
      <w:rPr>
        <w:noProof/>
      </w:rPr>
      <w:drawing>
        <wp:anchor distT="0" distB="0" distL="114300" distR="114300" behindDoc="0" locked="0" layoutInCell="1" simplePos="0" relativeHeight="251658752" allowOverlap="1" hidden="0">
          <wp:simplePos x="0" y="0"/>
          <wp:positionH relativeFrom="column">
            <wp:posOffset>4445</wp:posOffset>
          </wp:positionH>
          <wp:positionV relativeFrom="paragraph">
            <wp:posOffset>-287655</wp:posOffset>
          </wp:positionV>
          <wp:extent cx="1534160" cy="683895"/>
          <wp:effectExtent l="0" t="0" r="0" b="0"/>
          <wp:wrapNone/>
          <wp:docPr id="2049" name="shape2049" hidden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1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160" cy="683895"/>
                  </a:xfrm>
                  <a:prstGeom prst="rect"/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behindDoc="0" locked="0" layoutInCell="1" simplePos="0" relativeHeight="251656704" allowOverlap="1" hidden="0">
              <wp:simplePos x="0" y="0"/>
              <wp:positionH relativeFrom="column">
                <wp:posOffset>5080</wp:posOffset>
              </wp:positionH>
              <wp:positionV relativeFrom="paragraph">
                <wp:posOffset>313055</wp:posOffset>
              </wp:positionV>
              <wp:extent cx="6009640" cy="0"/>
              <wp:effectExtent l="19050" t="19050" r="19050" b="19050"/>
              <wp:wrapNone/>
              <wp:docPr id="2050" name="shape2050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Rot="1"/>
                    </wps:cNvSpPr>
                    <wps:spPr>
                      <a:xfrm>
                        <a:off x="0" y="0"/>
                        <a:ext cx="600964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8e5e2e">
                            <a:alpha val="75000"/>
                          </a:srgbClr>
                        </a:solidFill>
                      </a:ln>
                    </wps:spPr>
                    <wps:bodyPr rot="0"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50" type="#_x0000_t32" o:spt="32" style="position:absolute;margin-left:0.4pt;margin-top:24.65pt;width:473.2pt;height:0pt;mso-wrap-style:infront;mso-position-horizontal-relative:column;mso-position-vertical-relative:line;v-text-anchor:top;z-index:251656704" coordsize="21600, 21600" o:allowincell="t" filled="f" fillcolor="#ffffff" stroked="t" strokecolor="#8e5e2e" strokeweight="3pt">
              <v:stroke opacity="49152f"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behindDoc="0" locked="0" layoutInCell="1" simplePos="0" relativeHeight="251657728" allowOverlap="1" hidden="0">
              <wp:simplePos x="0" y="0"/>
              <wp:positionH relativeFrom="column">
                <wp:posOffset>1538605</wp:posOffset>
              </wp:positionH>
              <wp:positionV relativeFrom="paragraph">
                <wp:posOffset>27305</wp:posOffset>
              </wp:positionV>
              <wp:extent cx="4914265" cy="285750"/>
              <wp:effectExtent l="0" t="0" r="0" b="0"/>
              <wp:wrapNone/>
              <wp:docPr id="2051" name="shape2051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142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Perpetua Titling MT" w:hAnsi="Perpetua Titling MT"/>
                              <w:b/>
                              <w:color w:val="948A54"/>
                              <w:sz w:val="20"/>
                              <w:spacing w:val="30"/>
                            </w:rPr>
                          </w:pPr>
                          <w:r>
                            <w:rPr>
                              <w:rFonts w:ascii="Perpetua Titling MT" w:hAnsi="Perpetua Titling MT"/>
                              <w:b/>
                              <w:color w:val="948A54"/>
                              <w:sz w:val="16"/>
                              <w:szCs w:val="16"/>
                              <w:spacing w:val="30"/>
                            </w:rPr>
                            <w:t xml:space="preserve">Communication &amp; Marketing par l’Objet </w:t>
                          </w:r>
                          <w:r>
                            <w:rPr>
                              <w:rFonts w:ascii="Perpetua Titling MT" w:hAnsi="Perpetua Titling MT"/>
                              <w:b/>
                              <w:color w:val="948A54"/>
                              <w:sz w:val="20"/>
                              <w:spacing w:val="30"/>
                            </w:rPr>
                            <w:t>Comestible</w:t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121.15pt;margin-top:2.15pt;width:386.95pt;height:22.5pt;mso-wrap-style:infront;mso-position-horizontal-relative:column;mso-position-vertical-relative:line;v-text-anchor:top;z-index:251657728" o:allowincell="t" filled="f" fillcolor="#ffffff" stroked="f">
              <v:textbox inset="2.5mm,1.3mm,2.5mm,1.3mm">
                <w:txbxContent>
                  <w:p>
                    <w:pPr>
                      <w:rPr>
                        <w:rFonts w:ascii="Perpetua Titling MT" w:hAnsi="Perpetua Titling MT"/>
                        <w:b/>
                        <w:color w:val="948A54"/>
                        <w:sz w:val="20"/>
                        <w:spacing w:val="30"/>
                      </w:rPr>
                    </w:pPr>
                    <w:r>
                      <w:rPr>
                        <w:rFonts w:ascii="Perpetua Titling MT" w:hAnsi="Perpetua Titling MT"/>
                        <w:b/>
                        <w:color w:val="948A54"/>
                        <w:sz w:val="16"/>
                        <w:szCs w:val="16"/>
                        <w:spacing w:val="30"/>
                      </w:rPr>
                      <w:t xml:space="preserve">Communication &amp; Marketing par l’Objet </w:t>
                    </w:r>
                    <w:r>
                      <w:rPr>
                        <w:rFonts w:ascii="Perpetua Titling MT" w:hAnsi="Perpetua Titling MT"/>
                        <w:b/>
                        <w:color w:val="948A54"/>
                        <w:sz w:val="20"/>
                        <w:spacing w:val="30"/>
                      </w:rPr>
                      <w:t>Comestible</w:t>
                    </w:r>
                  </w:p>
                </w:txbxContent>
              </v:textbox>
              <v:stroke joinstyle="round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425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fr-FR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fr-FR" w:eastAsia="fr-FR" w:bidi="ar-SA"/>
        <w:rFonts w:ascii="Calibri" w:eastAsia="Times New Roman" w:hAnsi="Calibri" w:cs="Times New Roman"/>
      </w:rPr>
    </w:rPrDefault>
    <w:pPrDefault>
      <w:pPr/>
    </w:pPrDefault>
  </w:docDefault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ieddepage">
    <w:name w:val="footer"/>
    <w:basedOn w:val="normal"/>
    <w:link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Normal"/>
    <w:semiHidden/>
    <w:unhideWhenUsed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 /><Relationship Id="rId3" Type="http://schemas.openxmlformats.org/officeDocument/2006/relationships/footer" Target="footer1.xml" /><Relationship Id="rId1" Type="http://schemas.openxmlformats.org/officeDocument/2006/relationships/image" Target="media/image1.png" /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fontTable" Target="fontTable.xml" /><Relationship Id="rId7" Type="http://schemas.openxmlformats.org/officeDocument/2006/relationships/webSettings" Target="webSettings.xml" /><Relationship Id="rId8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Hewlett-Packard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ouakoube</dc:creator>
  <cp:keywords/>
  <dc:description/>
  <cp:lastModifiedBy>SM-G950U</cp:lastModifiedBy>
  <cp:revision>1</cp:revision>
  <dcterms:created xsi:type="dcterms:W3CDTF">2020-11-25T10:21:00Z</dcterms:created>
  <dcterms:modified xsi:type="dcterms:W3CDTF">2023-10-20T13:08:30Z</dcterms:modified>
  <cp:version>04.2000</cp:version>
</cp:coreProperties>
</file>